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6CBC1">
      <w:pPr>
        <w:spacing w:line="588" w:lineRule="exact"/>
        <w:rPr>
          <w:rFonts w:ascii="Times New Roman" w:hAnsi="Times New Roman" w:eastAsia="仿宋_GB2312" w:cs="Times New Roman"/>
          <w:bCs/>
          <w:sz w:val="32"/>
          <w:szCs w:val="32"/>
        </w:rPr>
      </w:pPr>
      <w:bookmarkStart w:id="0" w:name="OLE_LINK2"/>
      <w:r>
        <w:rPr>
          <w:rFonts w:hint="eastAsia" w:ascii="黑体" w:hAnsi="黑体" w:eastAsia="黑体" w:cs="Times New Roman"/>
          <w:sz w:val="32"/>
          <w:szCs w:val="32"/>
        </w:rPr>
        <w:t>附件</w:t>
      </w:r>
      <w:r>
        <w:rPr>
          <w:rFonts w:hint="eastAsia" w:ascii="Times New Roman" w:hAnsi="Times New Roman" w:eastAsia="仿宋_GB2312" w:cs="Times New Roman"/>
          <w:bCs/>
          <w:sz w:val="32"/>
          <w:szCs w:val="32"/>
        </w:rPr>
        <w:t>3</w:t>
      </w:r>
    </w:p>
    <w:p w14:paraId="6E84AA5D">
      <w:pPr>
        <w:spacing w:line="680" w:lineRule="exact"/>
        <w:rPr>
          <w:rFonts w:ascii="黑体" w:hAnsi="黑体" w:eastAsia="黑体" w:cs="Times New Roman"/>
          <w:sz w:val="32"/>
          <w:szCs w:val="32"/>
        </w:rPr>
      </w:pPr>
    </w:p>
    <w:p w14:paraId="495400A4">
      <w:pPr>
        <w:spacing w:line="6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天津市法学会法学研究课题（项目）</w:t>
      </w:r>
    </w:p>
    <w:p w14:paraId="7AC11F5C">
      <w:pPr>
        <w:spacing w:line="6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管理办法</w:t>
      </w:r>
      <w:bookmarkEnd w:id="0"/>
    </w:p>
    <w:p w14:paraId="46A0AA77">
      <w:pPr>
        <w:spacing w:line="588" w:lineRule="exact"/>
        <w:ind w:firstLine="640" w:firstLineChars="200"/>
        <w:jc w:val="center"/>
        <w:rPr>
          <w:rFonts w:ascii="黑体" w:hAnsi="黑体" w:eastAsia="黑体" w:cs="Times New Roman"/>
          <w:bCs/>
          <w:sz w:val="32"/>
          <w:szCs w:val="32"/>
        </w:rPr>
      </w:pPr>
    </w:p>
    <w:p w14:paraId="565B1539">
      <w:pPr>
        <w:spacing w:line="588" w:lineRule="exact"/>
        <w:jc w:val="center"/>
        <w:rPr>
          <w:rFonts w:ascii="黑体" w:hAnsi="黑体" w:eastAsia="黑体" w:cs="Times New Roman"/>
          <w:bCs/>
          <w:sz w:val="32"/>
          <w:szCs w:val="32"/>
        </w:rPr>
      </w:pPr>
      <w:r>
        <w:rPr>
          <w:rFonts w:hint="eastAsia" w:ascii="黑体" w:hAnsi="黑体" w:eastAsia="黑体" w:cs="Times New Roman"/>
          <w:bCs/>
          <w:sz w:val="32"/>
          <w:szCs w:val="32"/>
        </w:rPr>
        <w:t>第一章  总  则</w:t>
      </w:r>
    </w:p>
    <w:p w14:paraId="36FFE5BB">
      <w:pPr>
        <w:spacing w:line="588" w:lineRule="exact"/>
        <w:ind w:firstLine="640" w:firstLineChars="200"/>
        <w:rPr>
          <w:rFonts w:ascii="宋体" w:hAnsi="宋体" w:eastAsia="宋体" w:cs="Times New Roman"/>
          <w:sz w:val="32"/>
          <w:szCs w:val="32"/>
        </w:rPr>
      </w:pPr>
      <w:r>
        <w:rPr>
          <w:rFonts w:hint="eastAsia" w:ascii="黑体" w:hAnsi="黑体" w:eastAsia="黑体" w:cs="Times New Roman"/>
          <w:bCs/>
          <w:sz w:val="32"/>
          <w:szCs w:val="32"/>
        </w:rPr>
        <w:t>第一条</w:t>
      </w:r>
      <w:r>
        <w:rPr>
          <w:rFonts w:hint="eastAsia" w:ascii="宋体" w:hAnsi="宋体" w:eastAsia="宋体" w:cs="Times New Roman"/>
          <w:sz w:val="32"/>
          <w:szCs w:val="32"/>
        </w:rPr>
        <w:t xml:space="preserve">  </w:t>
      </w:r>
      <w:r>
        <w:rPr>
          <w:rFonts w:hint="eastAsia" w:ascii="仿宋_GB2312" w:hAnsi="宋体" w:eastAsia="仿宋_GB2312" w:cs="宋体"/>
          <w:sz w:val="32"/>
          <w:szCs w:val="32"/>
        </w:rPr>
        <w:t>为进一步规范和完善天津市法学会法学研究课题（项目）管理工作，提升课题（项目）研究质量和成果转化应用，为全面依法治市和法治天津建设提供优质法学理论支撑和法治实践服务，参照《中国法学会部级法学研究课题管理办法》，结合我市实际，制定本办法。</w:t>
      </w:r>
    </w:p>
    <w:p w14:paraId="2232726F">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第二条</w:t>
      </w:r>
      <w:r>
        <w:rPr>
          <w:rFonts w:hint="eastAsia" w:ascii="宋体" w:hAnsi="宋体" w:eastAsia="宋体" w:cs="Times New Roman"/>
          <w:sz w:val="32"/>
          <w:szCs w:val="32"/>
        </w:rPr>
        <w:t xml:space="preserve">  </w:t>
      </w:r>
      <w:bookmarkStart w:id="1" w:name="OLE_LINK3"/>
      <w:r>
        <w:rPr>
          <w:rFonts w:hint="eastAsia" w:ascii="仿宋_GB2312" w:hAnsi="宋体" w:eastAsia="仿宋_GB2312" w:cs="宋体"/>
          <w:sz w:val="32"/>
          <w:szCs w:val="32"/>
        </w:rPr>
        <w:t>天津市法学会法学研究课题（项目）管理工作坚持以习近平新时代中国特色社会主义思想为指导，深入学习贯彻习近平法治思想，</w:t>
      </w:r>
      <w:bookmarkEnd w:id="1"/>
      <w:bookmarkStart w:id="2" w:name="OLE_LINK19"/>
      <w:r>
        <w:rPr>
          <w:rFonts w:hint="eastAsia" w:ascii="仿宋_GB2312" w:hAnsi="宋体" w:eastAsia="仿宋_GB2312" w:cs="宋体"/>
          <w:sz w:val="32"/>
          <w:szCs w:val="32"/>
        </w:rPr>
        <w:t>深刻领悟“两个确立”的决定性意义，增强“四个意识”、坚定“四个自信”、做到“两个维护”，</w:t>
      </w:r>
      <w:bookmarkEnd w:id="2"/>
      <w:r>
        <w:rPr>
          <w:rFonts w:hint="eastAsia" w:ascii="仿宋_GB2312" w:hAnsi="宋体" w:eastAsia="仿宋_GB2312" w:cs="宋体"/>
          <w:sz w:val="32"/>
          <w:szCs w:val="32"/>
        </w:rPr>
        <w:t>始终坚持正确政治方向和学术方向，秉持解放思想、实事求是原则，注重理论研究与实践应用相统一，</w:t>
      </w:r>
      <w:bookmarkStart w:id="3" w:name="OLE_LINK20"/>
      <w:r>
        <w:rPr>
          <w:rFonts w:hint="eastAsia" w:ascii="仿宋_GB2312" w:hAnsi="宋体" w:eastAsia="仿宋_GB2312" w:cs="宋体"/>
          <w:sz w:val="32"/>
          <w:szCs w:val="32"/>
        </w:rPr>
        <w:t>坚守马克思主义法治理论的魂脉、传承中华优秀传统法律文化的根脉，立足中国特色社会主义法治丰富实践，合理借鉴世界优秀法治文明成果，聚焦构建中国自主法学知识体系目标任务，</w:t>
      </w:r>
      <w:bookmarkEnd w:id="3"/>
      <w:r>
        <w:rPr>
          <w:rFonts w:hint="eastAsia" w:ascii="仿宋_GB2312" w:hAnsi="宋体" w:eastAsia="仿宋_GB2312" w:cs="宋体"/>
          <w:sz w:val="32"/>
          <w:szCs w:val="32"/>
        </w:rPr>
        <w:t>服务市委和市政府中心工作，助力法治天津建设。</w:t>
      </w:r>
    </w:p>
    <w:p w14:paraId="64ED307D">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第三条</w:t>
      </w:r>
      <w:r>
        <w:rPr>
          <w:rFonts w:hint="eastAsia" w:ascii="宋体" w:hAnsi="宋体" w:eastAsia="宋体" w:cs="Times New Roman"/>
          <w:b/>
          <w:bCs/>
          <w:sz w:val="32"/>
          <w:szCs w:val="32"/>
        </w:rPr>
        <w:t xml:space="preserve">  </w:t>
      </w:r>
      <w:r>
        <w:rPr>
          <w:rFonts w:hint="eastAsia" w:ascii="仿宋_GB2312" w:hAnsi="宋体" w:eastAsia="仿宋_GB2312" w:cs="宋体"/>
          <w:sz w:val="32"/>
          <w:szCs w:val="32"/>
        </w:rPr>
        <w:t>天津市法学会负责法学研究课题（项目）的组织实施，明确专人全程监督，确保管理工作规范、高效；天津市法学会研究部为课题（项目）管理责任部门，负责选题征集、申报组织、评审立项、中期管理、成果验收及成果转化等全流程管理工作。</w:t>
      </w:r>
    </w:p>
    <w:p w14:paraId="14797008">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第四条</w:t>
      </w:r>
      <w:r>
        <w:rPr>
          <w:rFonts w:hint="eastAsia" w:ascii="宋体" w:hAnsi="宋体" w:eastAsia="宋体" w:cs="Times New Roman"/>
          <w:sz w:val="32"/>
          <w:szCs w:val="32"/>
        </w:rPr>
        <w:t xml:space="preserve">  </w:t>
      </w:r>
      <w:r>
        <w:rPr>
          <w:rFonts w:hint="eastAsia" w:ascii="仿宋_GB2312" w:hAnsi="宋体" w:eastAsia="仿宋_GB2312" w:cs="宋体"/>
          <w:sz w:val="32"/>
          <w:szCs w:val="32"/>
        </w:rPr>
        <w:t>课题（项目）选题需紧密围绕中央和市委、市政府工作大局，聚焦重大法学理论问题、法治实践难题，以及立法、执法、司法实践中的热点难点问题，突出构建中国自主法学知识体系的学术导向，强化对马克思主义法治理论的创新性发展和中华优秀传统法律文化的创造性转化、创新性发展，深度提炼中国特色社会主义法治实践经验，在立足国情市情基础上科学借鉴世界优秀法治文明成果，突出实用性与针对性。</w:t>
      </w:r>
    </w:p>
    <w:p w14:paraId="0EFF8F14">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第五条</w:t>
      </w:r>
      <w:r>
        <w:rPr>
          <w:rFonts w:hint="eastAsia" w:ascii="仿宋_GB2312" w:hAnsi="宋体" w:eastAsia="仿宋_GB2312" w:cs="宋体"/>
          <w:color w:val="FF0000"/>
          <w:sz w:val="32"/>
          <w:szCs w:val="32"/>
        </w:rPr>
        <w:t xml:space="preserve">  </w:t>
      </w:r>
      <w:r>
        <w:rPr>
          <w:rFonts w:hint="eastAsia" w:ascii="仿宋_GB2312" w:hAnsi="宋体" w:eastAsia="仿宋_GB2312" w:cs="宋体"/>
          <w:sz w:val="32"/>
          <w:szCs w:val="32"/>
        </w:rPr>
        <w:t>天津市法学会课题（项目）分为年度课题（项目）、委托课题（项目）、合作课题（项目）、专项课题（项目）四类。其中年度课题（项目）按照重要性、研究深度及主持人年龄条件，划分为重点课题（项目）、一般课题（项目）和青年课题（项目）。</w:t>
      </w:r>
    </w:p>
    <w:p w14:paraId="46ED95A2">
      <w:pPr>
        <w:spacing w:line="588" w:lineRule="exact"/>
        <w:jc w:val="center"/>
        <w:rPr>
          <w:rFonts w:ascii="黑体" w:hAnsi="黑体" w:eastAsia="黑体" w:cs="Times New Roman"/>
          <w:bCs/>
          <w:sz w:val="32"/>
          <w:szCs w:val="32"/>
        </w:rPr>
      </w:pPr>
      <w:r>
        <w:rPr>
          <w:rFonts w:hint="eastAsia" w:ascii="黑体" w:hAnsi="黑体" w:eastAsia="黑体" w:cs="Times New Roman"/>
          <w:bCs/>
          <w:sz w:val="32"/>
          <w:szCs w:val="32"/>
        </w:rPr>
        <w:t>第二章  课题申报与评审</w:t>
      </w:r>
    </w:p>
    <w:p w14:paraId="152EFE00">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第六条</w:t>
      </w:r>
      <w:r>
        <w:rPr>
          <w:rFonts w:hint="eastAsia" w:ascii="宋体" w:hAnsi="宋体" w:eastAsia="宋体" w:cs="Times New Roman"/>
          <w:b/>
          <w:bCs/>
          <w:sz w:val="32"/>
          <w:szCs w:val="32"/>
        </w:rPr>
        <w:t xml:space="preserve"> </w:t>
      </w:r>
      <w:r>
        <w:rPr>
          <w:rFonts w:hint="eastAsia" w:ascii="宋体" w:hAnsi="宋体" w:eastAsia="宋体" w:cs="Times New Roman"/>
          <w:sz w:val="32"/>
          <w:szCs w:val="32"/>
        </w:rPr>
        <w:t xml:space="preserve"> </w:t>
      </w:r>
      <w:r>
        <w:rPr>
          <w:rFonts w:hint="eastAsia" w:ascii="仿宋_GB2312" w:hAnsi="宋体" w:eastAsia="仿宋_GB2312" w:cs="宋体"/>
          <w:sz w:val="32"/>
          <w:szCs w:val="32"/>
        </w:rPr>
        <w:t>天津市法学会在广泛征集选题建议的基础上，组织学术委员会对选题进行评议，确定年度课题（项目）选题范围后，向社会公开发布征集通知和申报指南。</w:t>
      </w:r>
    </w:p>
    <w:p w14:paraId="51E4B379">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第七条</w:t>
      </w:r>
      <w:r>
        <w:rPr>
          <w:rFonts w:hint="eastAsia" w:ascii="宋体" w:hAnsi="宋体" w:eastAsia="宋体" w:cs="Times New Roman"/>
          <w:sz w:val="32"/>
          <w:szCs w:val="32"/>
        </w:rPr>
        <w:t xml:space="preserve">  </w:t>
      </w:r>
      <w:r>
        <w:rPr>
          <w:rFonts w:hint="eastAsia" w:ascii="仿宋_GB2312" w:hAnsi="宋体" w:eastAsia="仿宋_GB2312" w:cs="宋体"/>
          <w:sz w:val="32"/>
          <w:szCs w:val="32"/>
        </w:rPr>
        <w:t>课题（项目）申请人需严格按照申报通知和申报指南要求，填写《天津市法学会法学研究课题（项目）申报表》（以下简称《申报表》），包括</w:t>
      </w:r>
      <w:bookmarkStart w:id="4" w:name="OLE_LINK51"/>
      <w:bookmarkStart w:id="5" w:name="OLE_LINK50"/>
      <w:r>
        <w:rPr>
          <w:rFonts w:hint="eastAsia" w:ascii="仿宋_GB2312" w:hAnsi="宋体" w:eastAsia="仿宋_GB2312" w:cs="宋体"/>
          <w:sz w:val="32"/>
          <w:szCs w:val="32"/>
        </w:rPr>
        <w:t>课题（项目）</w:t>
      </w:r>
      <w:bookmarkEnd w:id="4"/>
      <w:bookmarkEnd w:id="5"/>
      <w:r>
        <w:rPr>
          <w:rFonts w:hint="eastAsia" w:ascii="仿宋_GB2312" w:hAnsi="宋体" w:eastAsia="仿宋_GB2312" w:cs="宋体"/>
          <w:sz w:val="32"/>
          <w:szCs w:val="32"/>
        </w:rPr>
        <w:t>组成员基本情况、课题设计论证、完成课题的研究条件和保障措施、经费预算、课题申请人所在单位审核意见等相关内容，并在申报期限内提交天津市法学会，逾期提交视为弃权，不予受理。</w:t>
      </w:r>
    </w:p>
    <w:p w14:paraId="2293A690">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第八条</w:t>
      </w:r>
      <w:r>
        <w:rPr>
          <w:rFonts w:hint="eastAsia" w:ascii="宋体" w:hAnsi="宋体" w:eastAsia="宋体" w:cs="Times New Roman"/>
          <w:sz w:val="32"/>
          <w:szCs w:val="32"/>
        </w:rPr>
        <w:t xml:space="preserve">  </w:t>
      </w:r>
      <w:r>
        <w:rPr>
          <w:rFonts w:hint="eastAsia" w:ascii="仿宋_GB2312" w:hAnsi="宋体" w:eastAsia="仿宋_GB2312" w:cs="宋体"/>
          <w:sz w:val="32"/>
          <w:szCs w:val="32"/>
        </w:rPr>
        <w:t>申请人及课题（项目）组成员条件：</w:t>
      </w:r>
    </w:p>
    <w:p w14:paraId="192AB666">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1.</w:t>
      </w:r>
      <w:r>
        <w:rPr>
          <w:rFonts w:hint="eastAsia" w:ascii="仿宋_GB2312" w:hAnsi="宋体" w:eastAsia="仿宋_GB2312" w:cs="宋体"/>
          <w:sz w:val="32"/>
          <w:szCs w:val="32"/>
        </w:rPr>
        <w:t>拥护中国共产党的领导，坚持以习近平新时代中国特色社会主义思想为指导，深入学习贯彻习近平法治思想，深刻领悟“两个确立”的决定性意义，增强“四个意识”、坚定“四个自信”、做到“两个维护”，坚定中国特色社会主义理想信念，坚持正确的政治方向；</w:t>
      </w:r>
    </w:p>
    <w:p w14:paraId="3B8EF543">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2.</w:t>
      </w:r>
      <w:r>
        <w:rPr>
          <w:rFonts w:hint="eastAsia" w:ascii="仿宋_GB2312" w:hAnsi="宋体" w:eastAsia="仿宋_GB2312" w:cs="宋体"/>
          <w:sz w:val="32"/>
          <w:szCs w:val="32"/>
        </w:rPr>
        <w:t>遵守中华人民共和国宪法和法律，为中国法学会会员（非会员需在申报时同步申请入会），具有一定的法学研究和法治实践能力，实际承担研究任务；</w:t>
      </w:r>
    </w:p>
    <w:p w14:paraId="28440EF8">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3.</w:t>
      </w:r>
      <w:r>
        <w:rPr>
          <w:rFonts w:hint="eastAsia" w:ascii="仿宋_GB2312" w:hAnsi="宋体" w:eastAsia="仿宋_GB2312" w:cs="宋体"/>
          <w:sz w:val="32"/>
          <w:szCs w:val="32"/>
        </w:rPr>
        <w:t>申请人应具有中级及以上职称或科级及以上职务职级，具备独立开展及组织科研工作的能力，能作为课题实际主持者并担负实质性研究工作；青年项目申请人年龄不得超过</w:t>
      </w:r>
      <w:r>
        <w:rPr>
          <w:rFonts w:ascii="Times New Roman" w:hAnsi="Times New Roman" w:eastAsia="仿宋_GB2312" w:cs="Times New Roman"/>
          <w:sz w:val="32"/>
          <w:szCs w:val="32"/>
        </w:rPr>
        <w:t>35</w:t>
      </w:r>
      <w:r>
        <w:rPr>
          <w:rFonts w:hint="eastAsia" w:ascii="仿宋_GB2312" w:hAnsi="宋体" w:eastAsia="仿宋_GB2312" w:cs="宋体"/>
          <w:sz w:val="32"/>
          <w:szCs w:val="32"/>
        </w:rPr>
        <w:t>周岁。</w:t>
      </w:r>
    </w:p>
    <w:p w14:paraId="096415EE">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4.</w:t>
      </w:r>
      <w:r>
        <w:rPr>
          <w:rFonts w:hint="eastAsia" w:ascii="仿宋_GB2312" w:hAnsi="宋体" w:eastAsia="仿宋_GB2312" w:cs="宋体"/>
          <w:sz w:val="32"/>
          <w:szCs w:val="32"/>
        </w:rPr>
        <w:t>申请人原则上同一年度只能申报天津市法学会的</w:t>
      </w:r>
      <w:r>
        <w:rPr>
          <w:rFonts w:hint="eastAsia" w:ascii="Times New Roman" w:hAnsi="Times New Roman" w:eastAsia="仿宋_GB2312" w:cs="Times New Roman"/>
          <w:sz w:val="32"/>
          <w:szCs w:val="32"/>
        </w:rPr>
        <w:t>1</w:t>
      </w:r>
      <w:r>
        <w:rPr>
          <w:rFonts w:hint="eastAsia" w:ascii="仿宋_GB2312" w:hAnsi="宋体" w:eastAsia="仿宋_GB2312" w:cs="宋体"/>
          <w:sz w:val="32"/>
          <w:szCs w:val="32"/>
        </w:rPr>
        <w:t>项课题（项目）；课题组成员最多只能同时参与天津市法学会</w:t>
      </w:r>
      <w:r>
        <w:rPr>
          <w:rFonts w:hint="eastAsia" w:ascii="Times New Roman" w:hAnsi="Times New Roman" w:eastAsia="仿宋_GB2312" w:cs="Times New Roman"/>
          <w:sz w:val="32"/>
          <w:szCs w:val="32"/>
        </w:rPr>
        <w:t>2</w:t>
      </w:r>
      <w:r>
        <w:rPr>
          <w:rFonts w:hint="eastAsia" w:ascii="仿宋_GB2312" w:hAnsi="宋体" w:eastAsia="仿宋_GB2312" w:cs="宋体"/>
          <w:sz w:val="32"/>
          <w:szCs w:val="32"/>
        </w:rPr>
        <w:t>项课题（项目）研究。未完成上一年度课题（项目）任务的申请人（因工作需要调整合并的除外），不得申报新的课题（项目）。</w:t>
      </w:r>
    </w:p>
    <w:p w14:paraId="0A33A80A">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第九条</w:t>
      </w:r>
      <w:r>
        <w:rPr>
          <w:rFonts w:hint="eastAsia" w:ascii="宋体" w:hAnsi="宋体" w:eastAsia="宋体" w:cs="Times New Roman"/>
          <w:sz w:val="32"/>
          <w:szCs w:val="32"/>
        </w:rPr>
        <w:t xml:space="preserve">  </w:t>
      </w:r>
      <w:r>
        <w:rPr>
          <w:rFonts w:hint="eastAsia" w:ascii="仿宋_GB2312" w:hAnsi="宋体" w:eastAsia="仿宋_GB2312" w:cs="宋体"/>
          <w:sz w:val="32"/>
          <w:szCs w:val="32"/>
        </w:rPr>
        <w:t>课题（项目）申请人不得将内容相同或相近的课题（项目），在其他部门重复申报立项。已承担或正在承担相同研究内容课题（项目）的，不得申报本办法管理的课题（项目）。</w:t>
      </w:r>
    </w:p>
    <w:p w14:paraId="7725C5B8">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第十条</w:t>
      </w:r>
      <w:r>
        <w:rPr>
          <w:rFonts w:hint="eastAsia" w:ascii="宋体" w:hAnsi="宋体" w:eastAsia="宋体" w:cs="Times New Roman"/>
          <w:sz w:val="32"/>
          <w:szCs w:val="32"/>
        </w:rPr>
        <w:t xml:space="preserve">  </w:t>
      </w:r>
      <w:r>
        <w:rPr>
          <w:rFonts w:hint="eastAsia" w:ascii="仿宋_GB2312" w:hAnsi="宋体" w:eastAsia="仿宋_GB2312" w:cs="宋体"/>
          <w:sz w:val="32"/>
          <w:szCs w:val="32"/>
        </w:rPr>
        <w:t>课题申请人需对《申报表》及相关材料的真实性负责，严禁弄虚作假。若发现申报材料存在虚假信息，经查证属实，取消其申报资格；已获准立项的，撤销立项资格。</w:t>
      </w:r>
    </w:p>
    <w:p w14:paraId="24B7BF64">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第十一条</w:t>
      </w:r>
      <w:r>
        <w:rPr>
          <w:rFonts w:hint="eastAsia" w:ascii="宋体" w:hAnsi="宋体" w:eastAsia="宋体" w:cs="Times New Roman"/>
          <w:sz w:val="32"/>
          <w:szCs w:val="32"/>
        </w:rPr>
        <w:t xml:space="preserve">  </w:t>
      </w:r>
      <w:r>
        <w:rPr>
          <w:rFonts w:hint="eastAsia" w:ascii="仿宋_GB2312" w:hAnsi="宋体" w:eastAsia="仿宋_GB2312" w:cs="宋体"/>
          <w:sz w:val="32"/>
          <w:szCs w:val="32"/>
        </w:rPr>
        <w:t>天津市法学会研究部对课题（项目）申报材料进行资格审查，重点审核申请人资质、成员条件、材料完整性及是否符合申报禁止情形。通过资格审查的，提交课题（项目）评审组立项评审。</w:t>
      </w:r>
    </w:p>
    <w:p w14:paraId="081C97E2">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第十二条</w:t>
      </w:r>
      <w:r>
        <w:rPr>
          <w:rFonts w:hint="eastAsia" w:ascii="宋体" w:hAnsi="宋体" w:eastAsia="宋体" w:cs="Times New Roman"/>
          <w:sz w:val="32"/>
          <w:szCs w:val="32"/>
        </w:rPr>
        <w:t xml:space="preserve">  </w:t>
      </w:r>
      <w:r>
        <w:rPr>
          <w:rFonts w:hint="eastAsia" w:ascii="仿宋_GB2312" w:hAnsi="宋体" w:eastAsia="仿宋_GB2312" w:cs="宋体"/>
          <w:sz w:val="32"/>
          <w:szCs w:val="32"/>
        </w:rPr>
        <w:t>天津市法学会组建课题（项目）评审组，成员包括：天津市法学会学术委员会委员；法学领域专家学者（需具有副高级以上职称）；法治实务部门资深专家；天津市法学会研究部相关人员。评审专家应具有较强的学术造诣或较丰富的实务经验，且未参加被评审课题（项目）的课题组。</w:t>
      </w:r>
    </w:p>
    <w:p w14:paraId="1227A7B8">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第十三条</w:t>
      </w:r>
      <w:r>
        <w:rPr>
          <w:rFonts w:hint="eastAsia" w:ascii="宋体" w:hAnsi="宋体" w:eastAsia="宋体" w:cs="Times New Roman"/>
          <w:sz w:val="32"/>
          <w:szCs w:val="32"/>
        </w:rPr>
        <w:t xml:space="preserve">  </w:t>
      </w:r>
      <w:r>
        <w:rPr>
          <w:rFonts w:hint="eastAsia" w:ascii="仿宋_GB2312" w:hAnsi="宋体" w:eastAsia="仿宋_GB2312" w:cs="宋体"/>
          <w:sz w:val="32"/>
          <w:szCs w:val="32"/>
        </w:rPr>
        <w:t>评审采取匿名通讯评审或会议评审方式，采用打分制或投票制，评审组根据评审结果或投票情况，择优提出立项建议，报天津市法学会审查批准，确定最终立项名单。</w:t>
      </w:r>
    </w:p>
    <w:p w14:paraId="2585ACE4">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第十四条</w:t>
      </w:r>
      <w:r>
        <w:rPr>
          <w:rFonts w:hint="eastAsia" w:ascii="宋体" w:hAnsi="宋体" w:eastAsia="宋体" w:cs="Times New Roman"/>
          <w:sz w:val="32"/>
          <w:szCs w:val="32"/>
        </w:rPr>
        <w:t xml:space="preserve">  </w:t>
      </w:r>
      <w:r>
        <w:rPr>
          <w:rFonts w:hint="eastAsia" w:ascii="仿宋_GB2312" w:hAnsi="宋体" w:eastAsia="仿宋_GB2312" w:cs="宋体"/>
          <w:sz w:val="32"/>
          <w:szCs w:val="32"/>
        </w:rPr>
        <w:t>课题（项目）评审基本标准：</w:t>
      </w:r>
    </w:p>
    <w:p w14:paraId="6EB487F6">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1.</w:t>
      </w:r>
      <w:r>
        <w:rPr>
          <w:rFonts w:hint="eastAsia" w:ascii="仿宋_GB2312" w:hAnsi="宋体" w:eastAsia="仿宋_GB2312" w:cs="宋体"/>
          <w:sz w:val="32"/>
          <w:szCs w:val="32"/>
        </w:rPr>
        <w:t>必须遵循马克思主义的基本立场、观点和方法，坚持以习近平新时代中国特色社会主义思想为指导，深入学习贯彻习近平法治思想，体现正确的政治方向和人民立场，坚守马克思主义法治理论魂脉，彰显中华优秀传统法律文化的时代价值；</w:t>
      </w:r>
    </w:p>
    <w:p w14:paraId="618FCD14">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2.</w:t>
      </w:r>
      <w:r>
        <w:rPr>
          <w:rFonts w:hint="eastAsia" w:ascii="仿宋_GB2312" w:hAnsi="宋体" w:eastAsia="仿宋_GB2312" w:cs="宋体"/>
          <w:sz w:val="32"/>
          <w:szCs w:val="32"/>
        </w:rPr>
        <w:t>对经济社会发展具有重要理论意义和现实意义，能为市委和市政府决策提供理论依据和论证，或具有较高学术价值、应用价值和社会影响力，对构建中国自主法学知识体系有积极贡献；</w:t>
      </w:r>
    </w:p>
    <w:p w14:paraId="721B2104">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3.</w:t>
      </w:r>
      <w:r>
        <w:rPr>
          <w:rFonts w:hint="eastAsia" w:ascii="仿宋_GB2312" w:hAnsi="宋体" w:eastAsia="仿宋_GB2312" w:cs="宋体"/>
          <w:sz w:val="32"/>
          <w:szCs w:val="32"/>
        </w:rPr>
        <w:t>准确把握学术前沿，研究思路清晰，方法科学，注重调查研究、观点明确、论证充分，能结合中国法治实践提炼原创性概念、范畴、理论，推动法学知识体系创新；</w:t>
      </w:r>
    </w:p>
    <w:p w14:paraId="5CB41389">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4.</w:t>
      </w:r>
      <w:r>
        <w:rPr>
          <w:rFonts w:hint="eastAsia" w:ascii="仿宋_GB2312" w:hAnsi="宋体" w:eastAsia="仿宋_GB2312" w:cs="宋体"/>
          <w:sz w:val="32"/>
          <w:szCs w:val="32"/>
        </w:rPr>
        <w:t>研究成果应当具有时效性、可行性和创新性，研究进度符合实际需求；</w:t>
      </w:r>
    </w:p>
    <w:p w14:paraId="629B6358">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5.</w:t>
      </w:r>
      <w:r>
        <w:rPr>
          <w:rFonts w:hint="eastAsia" w:ascii="仿宋_GB2312" w:hAnsi="宋体" w:eastAsia="仿宋_GB2312" w:cs="宋体"/>
          <w:sz w:val="32"/>
          <w:szCs w:val="32"/>
        </w:rPr>
        <w:t>课题（项目）组结构合理（含理论和实务人员），前期研究基础扎实，具备完成研究的时间和条件，经费预算科学、合理、合规。</w:t>
      </w:r>
    </w:p>
    <w:p w14:paraId="09270E01">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第十五条</w:t>
      </w:r>
      <w:r>
        <w:rPr>
          <w:rFonts w:hint="eastAsia" w:ascii="宋体" w:hAnsi="宋体" w:eastAsia="宋体" w:cs="Times New Roman"/>
          <w:sz w:val="32"/>
          <w:szCs w:val="32"/>
        </w:rPr>
        <w:t xml:space="preserve">  </w:t>
      </w:r>
      <w:r>
        <w:rPr>
          <w:rFonts w:hint="eastAsia" w:ascii="仿宋_GB2312" w:hAnsi="宋体" w:eastAsia="仿宋_GB2312" w:cs="宋体"/>
          <w:sz w:val="32"/>
          <w:szCs w:val="32"/>
        </w:rPr>
        <w:t>拟立项的课题（项目）名单及主持人基本信息在天津市法学会官网公示，公示期为</w:t>
      </w:r>
      <w:r>
        <w:rPr>
          <w:rFonts w:hint="eastAsia" w:ascii="Times New Roman" w:hAnsi="Times New Roman" w:eastAsia="仿宋_GB2312" w:cs="Times New Roman"/>
          <w:sz w:val="32"/>
          <w:szCs w:val="32"/>
        </w:rPr>
        <w:t>7</w:t>
      </w:r>
      <w:r>
        <w:rPr>
          <w:rFonts w:hint="eastAsia" w:ascii="仿宋_GB2312" w:hAnsi="宋体" w:eastAsia="仿宋_GB2312" w:cs="宋体"/>
          <w:sz w:val="32"/>
          <w:szCs w:val="32"/>
        </w:rPr>
        <w:t>天。在公示期内发现有不符合申报条件的情况，经查证属实的，取消立项资格。</w:t>
      </w:r>
    </w:p>
    <w:p w14:paraId="704A5C8A">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第十六条</w:t>
      </w:r>
      <w:r>
        <w:rPr>
          <w:rFonts w:hint="eastAsia" w:ascii="宋体" w:hAnsi="宋体" w:eastAsia="宋体" w:cs="Times New Roman"/>
          <w:b/>
          <w:bCs/>
          <w:sz w:val="32"/>
          <w:szCs w:val="32"/>
        </w:rPr>
        <w:t xml:space="preserve"> </w:t>
      </w:r>
      <w:r>
        <w:rPr>
          <w:rFonts w:hint="eastAsia" w:ascii="宋体" w:hAnsi="宋体" w:eastAsia="宋体" w:cs="Times New Roman"/>
          <w:sz w:val="32"/>
          <w:szCs w:val="32"/>
        </w:rPr>
        <w:t xml:space="preserve"> </w:t>
      </w:r>
      <w:r>
        <w:rPr>
          <w:rFonts w:hint="eastAsia" w:ascii="仿宋_GB2312" w:hAnsi="宋体" w:eastAsia="仿宋_GB2312" w:cs="宋体"/>
          <w:sz w:val="32"/>
          <w:szCs w:val="32"/>
        </w:rPr>
        <w:t>天津市法学会向课题（项目）申请人寄发《立项通知书》，并通过网站公布立项名单。</w:t>
      </w:r>
    </w:p>
    <w:p w14:paraId="55C40B66">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第十七条</w:t>
      </w:r>
      <w:r>
        <w:rPr>
          <w:rFonts w:hint="eastAsia" w:ascii="宋体" w:hAnsi="宋体" w:eastAsia="宋体" w:cs="Times New Roman"/>
          <w:b/>
          <w:bCs/>
          <w:sz w:val="32"/>
          <w:szCs w:val="32"/>
        </w:rPr>
        <w:t xml:space="preserve">  </w:t>
      </w:r>
      <w:r>
        <w:rPr>
          <w:rFonts w:hint="eastAsia" w:ascii="仿宋_GB2312" w:hAnsi="宋体" w:eastAsia="仿宋_GB2312" w:cs="宋体"/>
          <w:sz w:val="32"/>
          <w:szCs w:val="32"/>
        </w:rPr>
        <w:t>课题（项目）立项后，申请人自动成为课题（项目）主持人，负责组织开展课题（项目）研究、提交阶段性成果、办理经费使用等事宜，对课题（项目）质量与进度负总责。</w:t>
      </w:r>
    </w:p>
    <w:p w14:paraId="31E9090C">
      <w:pPr>
        <w:spacing w:line="588" w:lineRule="exact"/>
        <w:jc w:val="center"/>
        <w:rPr>
          <w:rFonts w:ascii="黑体" w:hAnsi="黑体" w:eastAsia="黑体" w:cs="Times New Roman"/>
          <w:bCs/>
          <w:sz w:val="32"/>
          <w:szCs w:val="32"/>
        </w:rPr>
      </w:pPr>
      <w:r>
        <w:rPr>
          <w:rFonts w:hint="eastAsia" w:ascii="黑体" w:hAnsi="黑体" w:eastAsia="黑体" w:cs="Times New Roman"/>
          <w:bCs/>
          <w:sz w:val="32"/>
          <w:szCs w:val="32"/>
        </w:rPr>
        <w:t>第三章  中期管理</w:t>
      </w:r>
    </w:p>
    <w:p w14:paraId="563233C5">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第十八条</w:t>
      </w:r>
      <w:r>
        <w:rPr>
          <w:rFonts w:hint="eastAsia" w:ascii="宋体" w:hAnsi="宋体" w:eastAsia="宋体" w:cs="Times New Roman"/>
          <w:b/>
          <w:bCs/>
          <w:sz w:val="32"/>
          <w:szCs w:val="32"/>
        </w:rPr>
        <w:t xml:space="preserve">  </w:t>
      </w:r>
      <w:r>
        <w:rPr>
          <w:rFonts w:hint="eastAsia" w:ascii="仿宋_GB2312" w:hAnsi="宋体" w:eastAsia="仿宋_GB2312" w:cs="宋体"/>
          <w:sz w:val="32"/>
          <w:szCs w:val="32"/>
        </w:rPr>
        <w:t>天津市法学会课题（项目）实行主持人负责制，主持人应严格按照本办法和立项要求组织开展课题（项目）研究，并负相应责任。</w:t>
      </w:r>
    </w:p>
    <w:p w14:paraId="79BD73FB">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第十九条</w:t>
      </w:r>
      <w:r>
        <w:rPr>
          <w:rFonts w:hint="eastAsia" w:ascii="宋体" w:hAnsi="宋体" w:eastAsia="宋体" w:cs="Times New Roman"/>
          <w:sz w:val="32"/>
          <w:szCs w:val="32"/>
        </w:rPr>
        <w:t xml:space="preserve">  </w:t>
      </w:r>
      <w:r>
        <w:rPr>
          <w:rFonts w:hint="eastAsia" w:ascii="仿宋_GB2312" w:hAnsi="宋体" w:eastAsia="仿宋_GB2312" w:cs="宋体"/>
          <w:sz w:val="32"/>
          <w:szCs w:val="32"/>
        </w:rPr>
        <w:t>天津市法学会对立项课题（项目）实行中期抽查，抽查的内容包括课题（项目）研究的进度、取得的阶段性研究成果、存在的问题及解决的措施等。</w:t>
      </w:r>
    </w:p>
    <w:p w14:paraId="29B40A07">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第二十条</w:t>
      </w:r>
      <w:r>
        <w:rPr>
          <w:rFonts w:hint="eastAsia" w:ascii="宋体" w:hAnsi="宋体" w:eastAsia="宋体" w:cs="Times New Roman"/>
          <w:sz w:val="32"/>
          <w:szCs w:val="32"/>
        </w:rPr>
        <w:t xml:space="preserve">  </w:t>
      </w:r>
      <w:r>
        <w:rPr>
          <w:rFonts w:hint="eastAsia" w:ascii="仿宋_GB2312" w:hAnsi="宋体" w:eastAsia="仿宋_GB2312" w:cs="宋体"/>
          <w:sz w:val="32"/>
          <w:szCs w:val="32"/>
        </w:rPr>
        <w:t>接受中期检查的课题组须按要求及时向天津市法学会研究部报告课题（项目）研究进展和管理工作情况，对如何按期完成后续工作做出说明。</w:t>
      </w:r>
    </w:p>
    <w:p w14:paraId="3E13DE7A">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第二十一条</w:t>
      </w:r>
      <w:r>
        <w:rPr>
          <w:rFonts w:hint="eastAsia" w:ascii="宋体" w:hAnsi="宋体" w:eastAsia="宋体" w:cs="Times New Roman"/>
          <w:b/>
          <w:bCs/>
          <w:sz w:val="32"/>
          <w:szCs w:val="32"/>
        </w:rPr>
        <w:t xml:space="preserve"> </w:t>
      </w:r>
      <w:r>
        <w:rPr>
          <w:rFonts w:hint="eastAsia" w:ascii="宋体" w:hAnsi="宋体" w:eastAsia="宋体" w:cs="Times New Roman"/>
          <w:sz w:val="32"/>
          <w:szCs w:val="32"/>
        </w:rPr>
        <w:t xml:space="preserve"> </w:t>
      </w:r>
      <w:r>
        <w:rPr>
          <w:rFonts w:hint="eastAsia" w:ascii="仿宋_GB2312" w:hAnsi="宋体" w:eastAsia="仿宋_GB2312" w:cs="宋体"/>
          <w:sz w:val="32"/>
          <w:szCs w:val="32"/>
        </w:rPr>
        <w:t>中期检查凡有下列情形之一的，由天津市法学会通知课题(项目)组限期整改；整改未通过的，撤销立项课题（项目）：</w:t>
      </w:r>
    </w:p>
    <w:p w14:paraId="270DEB16">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1.</w:t>
      </w:r>
      <w:r>
        <w:rPr>
          <w:rFonts w:hint="eastAsia" w:ascii="仿宋_GB2312" w:hAnsi="宋体" w:eastAsia="仿宋_GB2312" w:cs="宋体"/>
          <w:sz w:val="32"/>
          <w:szCs w:val="32"/>
        </w:rPr>
        <w:t>与批准的课题（项目）研究内容严重不符的；</w:t>
      </w:r>
    </w:p>
    <w:p w14:paraId="188AABAB">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2.</w:t>
      </w:r>
      <w:r>
        <w:rPr>
          <w:rFonts w:hint="eastAsia" w:ascii="仿宋_GB2312" w:hAnsi="宋体" w:eastAsia="仿宋_GB2312" w:cs="宋体"/>
          <w:sz w:val="32"/>
          <w:szCs w:val="32"/>
        </w:rPr>
        <w:t>尚未进行实质性课题（项目）研究的；</w:t>
      </w:r>
    </w:p>
    <w:p w14:paraId="4F762584">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3.</w:t>
      </w:r>
      <w:r>
        <w:rPr>
          <w:rFonts w:hint="eastAsia" w:ascii="仿宋_GB2312" w:hAnsi="宋体" w:eastAsia="仿宋_GB2312" w:cs="宋体"/>
          <w:sz w:val="32"/>
          <w:szCs w:val="32"/>
        </w:rPr>
        <w:t>没有取得相应阶段性研究成果的；</w:t>
      </w:r>
    </w:p>
    <w:p w14:paraId="5242204F">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4.</w:t>
      </w:r>
      <w:r>
        <w:rPr>
          <w:rFonts w:hint="eastAsia" w:ascii="仿宋_GB2312" w:hAnsi="宋体" w:eastAsia="仿宋_GB2312" w:cs="宋体"/>
          <w:sz w:val="32"/>
          <w:szCs w:val="32"/>
        </w:rPr>
        <w:t>无故不接受中期检查的；</w:t>
      </w:r>
    </w:p>
    <w:p w14:paraId="3AC59C17">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5.</w:t>
      </w:r>
      <w:r>
        <w:rPr>
          <w:rFonts w:hint="eastAsia" w:ascii="仿宋_GB2312" w:hAnsi="宋体" w:eastAsia="仿宋_GB2312" w:cs="宋体"/>
          <w:sz w:val="32"/>
          <w:szCs w:val="32"/>
        </w:rPr>
        <w:t>其他不能保证课题（项目）完成的情形。</w:t>
      </w:r>
    </w:p>
    <w:p w14:paraId="4C4E7F07">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第二十二条</w:t>
      </w:r>
      <w:r>
        <w:rPr>
          <w:rFonts w:hint="eastAsia" w:ascii="宋体" w:hAnsi="宋体" w:eastAsia="宋体" w:cs="Times New Roman"/>
          <w:sz w:val="32"/>
          <w:szCs w:val="32"/>
        </w:rPr>
        <w:t xml:space="preserve">  </w:t>
      </w:r>
      <w:r>
        <w:rPr>
          <w:rFonts w:hint="eastAsia" w:ascii="仿宋_GB2312" w:hAnsi="宋体" w:eastAsia="仿宋_GB2312" w:cs="宋体"/>
          <w:sz w:val="32"/>
          <w:szCs w:val="32"/>
        </w:rPr>
        <w:t>课题（</w:t>
      </w:r>
      <w:r>
        <w:rPr>
          <w:rFonts w:hint="eastAsia" w:ascii="Times New Roman" w:hAnsi="Times New Roman" w:eastAsia="仿宋_GB2312" w:cs="Times New Roman"/>
          <w:bCs/>
          <w:sz w:val="32"/>
          <w:szCs w:val="32"/>
        </w:rPr>
        <w:t>项目</w:t>
      </w:r>
      <w:r>
        <w:rPr>
          <w:rFonts w:hint="eastAsia" w:ascii="仿宋_GB2312" w:hAnsi="宋体" w:eastAsia="仿宋_GB2312" w:cs="宋体"/>
          <w:sz w:val="32"/>
          <w:szCs w:val="32"/>
        </w:rPr>
        <w:t>）研究过程中，凡有下列情形之一的，须经课题（项目）主持人所在单位同意，向天津市法学会提出书面申请并获得批准。否则，撤销立项课题（项目）。</w:t>
      </w:r>
    </w:p>
    <w:p w14:paraId="53DD595C">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1.</w:t>
      </w:r>
      <w:r>
        <w:rPr>
          <w:rFonts w:hint="eastAsia" w:ascii="仿宋_GB2312" w:hAnsi="宋体" w:eastAsia="仿宋_GB2312" w:cs="宋体"/>
          <w:sz w:val="32"/>
          <w:szCs w:val="32"/>
        </w:rPr>
        <w:t>变更课题（项目）主持人、课题（项目）组成员的；</w:t>
      </w:r>
    </w:p>
    <w:p w14:paraId="03EA3716">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2.</w:t>
      </w:r>
      <w:r>
        <w:rPr>
          <w:rFonts w:hint="eastAsia" w:ascii="仿宋_GB2312" w:hAnsi="宋体" w:eastAsia="仿宋_GB2312" w:cs="宋体"/>
          <w:sz w:val="32"/>
          <w:szCs w:val="32"/>
        </w:rPr>
        <w:t>研究题目、内容有重大调整的；</w:t>
      </w:r>
    </w:p>
    <w:p w14:paraId="370871D9">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3.</w:t>
      </w:r>
      <w:r>
        <w:rPr>
          <w:rFonts w:hint="eastAsia" w:ascii="仿宋_GB2312" w:hAnsi="宋体" w:eastAsia="仿宋_GB2312" w:cs="宋体"/>
          <w:sz w:val="32"/>
          <w:szCs w:val="32"/>
        </w:rPr>
        <w:t>变更课题（项目）管理单位的；</w:t>
      </w:r>
    </w:p>
    <w:p w14:paraId="5B8F05DB">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4.</w:t>
      </w:r>
      <w:r>
        <w:rPr>
          <w:rFonts w:hint="eastAsia" w:ascii="仿宋_GB2312" w:hAnsi="宋体" w:eastAsia="仿宋_GB2312" w:cs="宋体"/>
          <w:sz w:val="32"/>
          <w:szCs w:val="32"/>
        </w:rPr>
        <w:t>申请课题（项目）延期的；</w:t>
      </w:r>
    </w:p>
    <w:p w14:paraId="0FE49E46">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5.</w:t>
      </w:r>
      <w:r>
        <w:rPr>
          <w:rFonts w:hint="eastAsia" w:ascii="仿宋_GB2312" w:hAnsi="宋体" w:eastAsia="仿宋_GB2312" w:cs="宋体"/>
          <w:sz w:val="32"/>
          <w:szCs w:val="32"/>
        </w:rPr>
        <w:t>其他重要事项变更的。</w:t>
      </w:r>
    </w:p>
    <w:p w14:paraId="218FAA2B">
      <w:pPr>
        <w:spacing w:line="588" w:lineRule="exact"/>
        <w:jc w:val="center"/>
        <w:rPr>
          <w:rFonts w:ascii="黑体" w:hAnsi="黑体" w:eastAsia="黑体" w:cs="Times New Roman"/>
          <w:bCs/>
          <w:sz w:val="32"/>
          <w:szCs w:val="32"/>
        </w:rPr>
      </w:pPr>
      <w:r>
        <w:rPr>
          <w:rFonts w:hint="eastAsia" w:ascii="黑体" w:hAnsi="黑体" w:eastAsia="黑体" w:cs="Times New Roman"/>
          <w:bCs/>
          <w:sz w:val="32"/>
          <w:szCs w:val="32"/>
        </w:rPr>
        <w:t>第四章  成果验收与成果转化</w:t>
      </w:r>
    </w:p>
    <w:p w14:paraId="0D304308">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第二十三条</w:t>
      </w:r>
      <w:r>
        <w:rPr>
          <w:rFonts w:hint="eastAsia" w:ascii="宋体" w:hAnsi="宋体" w:eastAsia="宋体" w:cs="Times New Roman"/>
          <w:sz w:val="32"/>
          <w:szCs w:val="32"/>
        </w:rPr>
        <w:t xml:space="preserve">  </w:t>
      </w:r>
      <w:r>
        <w:rPr>
          <w:rFonts w:hint="eastAsia" w:ascii="仿宋_GB2312" w:hAnsi="宋体" w:eastAsia="仿宋_GB2312" w:cs="宋体"/>
          <w:sz w:val="32"/>
          <w:szCs w:val="32"/>
        </w:rPr>
        <w:t>课题（项目）成果形式可以为决策咨询报告、研究报告、论文或专著等。鼓励以决策咨询报告作为课题（项目）阶段性成果和最终成果。</w:t>
      </w:r>
    </w:p>
    <w:p w14:paraId="064AECF0">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第二十四条</w:t>
      </w:r>
      <w:r>
        <w:rPr>
          <w:rFonts w:hint="eastAsia" w:ascii="宋体" w:hAnsi="宋体" w:eastAsia="宋体" w:cs="Times New Roman"/>
          <w:sz w:val="32"/>
          <w:szCs w:val="32"/>
        </w:rPr>
        <w:t xml:space="preserve">  </w:t>
      </w:r>
      <w:r>
        <w:rPr>
          <w:rFonts w:hint="eastAsia" w:ascii="仿宋_GB2312" w:hAnsi="宋体" w:eastAsia="仿宋_GB2312" w:cs="宋体"/>
          <w:sz w:val="32"/>
          <w:szCs w:val="32"/>
        </w:rPr>
        <w:t>课题（项目）完成后，主持人应将最终研究成果和内容提要（不少于</w:t>
      </w:r>
      <w:r>
        <w:rPr>
          <w:rFonts w:hint="eastAsia" w:ascii="Times New Roman" w:hAnsi="Times New Roman" w:eastAsia="仿宋_GB2312" w:cs="Times New Roman"/>
          <w:bCs/>
          <w:sz w:val="32"/>
          <w:szCs w:val="32"/>
        </w:rPr>
        <w:t>2000</w:t>
      </w:r>
      <w:r>
        <w:rPr>
          <w:rFonts w:hint="eastAsia" w:ascii="仿宋_GB2312" w:hAnsi="宋体" w:eastAsia="仿宋_GB2312" w:cs="宋体"/>
          <w:sz w:val="32"/>
          <w:szCs w:val="32"/>
        </w:rPr>
        <w:t>字）的纸质版、电子版、相应的成果查重证明（查重率须低于</w:t>
      </w:r>
      <w:r>
        <w:rPr>
          <w:rFonts w:hint="eastAsia" w:ascii="Times New Roman" w:hAnsi="Times New Roman" w:eastAsia="仿宋_GB2312" w:cs="Times New Roman"/>
          <w:bCs/>
          <w:sz w:val="32"/>
          <w:szCs w:val="32"/>
        </w:rPr>
        <w:t>30%，</w:t>
      </w:r>
      <w:r>
        <w:rPr>
          <w:rFonts w:hint="eastAsia" w:ascii="仿宋_GB2312" w:hAnsi="宋体" w:eastAsia="仿宋_GB2312" w:cs="宋体"/>
          <w:sz w:val="32"/>
          <w:szCs w:val="32"/>
        </w:rPr>
        <w:t>以天津市法学会指定查重系统结果为准）一并报送市法学会。</w:t>
      </w:r>
    </w:p>
    <w:p w14:paraId="10A0E84B">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第二十五条</w:t>
      </w:r>
      <w:r>
        <w:rPr>
          <w:rFonts w:hint="eastAsia" w:ascii="宋体" w:hAnsi="宋体" w:eastAsia="宋体" w:cs="Times New Roman"/>
          <w:sz w:val="32"/>
          <w:szCs w:val="32"/>
        </w:rPr>
        <w:t xml:space="preserve">  </w:t>
      </w:r>
      <w:r>
        <w:rPr>
          <w:rFonts w:hint="eastAsia" w:ascii="仿宋_GB2312" w:hAnsi="宋体" w:eastAsia="仿宋_GB2312" w:cs="宋体"/>
          <w:sz w:val="32"/>
          <w:szCs w:val="32"/>
        </w:rPr>
        <w:t>评审组对课题（项目）成果采取通讯评审或会议评审方式进行评审。评审专家之间对于课题成果评价意见分歧较大的，天津市法学会可另行组织专家进行评审，必要时组织评审会议，通知课题（项目）主持人现场进行答辩。</w:t>
      </w:r>
    </w:p>
    <w:p w14:paraId="54AC81D6">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第二十六条</w:t>
      </w:r>
      <w:r>
        <w:rPr>
          <w:rFonts w:hint="eastAsia" w:ascii="宋体" w:hAnsi="宋体" w:eastAsia="宋体" w:cs="Times New Roman"/>
          <w:sz w:val="32"/>
          <w:szCs w:val="32"/>
        </w:rPr>
        <w:t xml:space="preserve">  </w:t>
      </w:r>
      <w:r>
        <w:rPr>
          <w:rFonts w:hint="eastAsia" w:ascii="仿宋_GB2312" w:hAnsi="宋体" w:eastAsia="仿宋_GB2312" w:cs="宋体"/>
          <w:sz w:val="32"/>
          <w:szCs w:val="32"/>
        </w:rPr>
        <w:t>评审等级分为优秀、合格、不合格三类。</w:t>
      </w:r>
    </w:p>
    <w:p w14:paraId="30C4D7A0">
      <w:pPr>
        <w:spacing w:line="588"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优秀：研究成果创新性较强，具有较高的学术价值或应用价值或社会影响力；</w:t>
      </w:r>
    </w:p>
    <w:p w14:paraId="07EB966F">
      <w:pPr>
        <w:spacing w:line="588"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合格：研究成果有一定创新性，具备一定的学术价值或应用价值或社会影响力；</w:t>
      </w:r>
    </w:p>
    <w:p w14:paraId="6093CAFF">
      <w:pPr>
        <w:spacing w:line="588"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不合格：研究成果不规范，且明显缺乏学术价值和应用价值。 </w:t>
      </w:r>
    </w:p>
    <w:p w14:paraId="1686B5F3">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第二十七条</w:t>
      </w:r>
      <w:r>
        <w:rPr>
          <w:rFonts w:hint="eastAsia" w:ascii="宋体" w:hAnsi="宋体" w:eastAsia="宋体" w:cs="Times New Roman"/>
          <w:sz w:val="32"/>
          <w:szCs w:val="32"/>
        </w:rPr>
        <w:t xml:space="preserve">  </w:t>
      </w:r>
      <w:r>
        <w:rPr>
          <w:rFonts w:hint="eastAsia" w:ascii="仿宋_GB2312" w:hAnsi="宋体" w:eastAsia="仿宋_GB2312" w:cs="宋体"/>
          <w:sz w:val="32"/>
          <w:szCs w:val="32"/>
        </w:rPr>
        <w:t>课题（项目）成果被评为“优秀”、“合格”的，由天津市法学会颁发《课题（项目）结项证书》。</w:t>
      </w:r>
    </w:p>
    <w:p w14:paraId="4F89D758">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第二十八条</w:t>
      </w:r>
      <w:r>
        <w:rPr>
          <w:rFonts w:hint="eastAsia" w:ascii="宋体" w:hAnsi="宋体" w:eastAsia="宋体" w:cs="Times New Roman"/>
          <w:sz w:val="32"/>
          <w:szCs w:val="32"/>
        </w:rPr>
        <w:t xml:space="preserve">  </w:t>
      </w:r>
      <w:r>
        <w:rPr>
          <w:rFonts w:hint="eastAsia" w:ascii="仿宋_GB2312" w:hAnsi="宋体" w:eastAsia="仿宋_GB2312" w:cs="宋体"/>
          <w:sz w:val="32"/>
          <w:szCs w:val="32"/>
        </w:rPr>
        <w:t>凡有下列情形之一的，天津市法学会予以撤销课题（项目）：</w:t>
      </w:r>
    </w:p>
    <w:p w14:paraId="1EA5ABCE">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1.</w:t>
      </w:r>
      <w:r>
        <w:rPr>
          <w:rFonts w:hint="eastAsia" w:ascii="仿宋_GB2312" w:hAnsi="宋体" w:eastAsia="仿宋_GB2312" w:cs="宋体"/>
          <w:sz w:val="32"/>
          <w:szCs w:val="32"/>
        </w:rPr>
        <w:t>研究成果有严重政治问题；</w:t>
      </w:r>
    </w:p>
    <w:p w14:paraId="531F0984">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2.</w:t>
      </w:r>
      <w:r>
        <w:rPr>
          <w:rFonts w:hint="eastAsia" w:ascii="仿宋_GB2312" w:hAnsi="宋体" w:eastAsia="仿宋_GB2312" w:cs="宋体"/>
          <w:sz w:val="32"/>
          <w:szCs w:val="32"/>
        </w:rPr>
        <w:t>剽窃他人成果，弄虚作假；</w:t>
      </w:r>
    </w:p>
    <w:p w14:paraId="439652F3">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3.</w:t>
      </w:r>
      <w:r>
        <w:rPr>
          <w:rFonts w:hint="eastAsia" w:ascii="仿宋_GB2312" w:hAnsi="宋体" w:eastAsia="仿宋_GB2312" w:cs="宋体"/>
          <w:sz w:val="32"/>
          <w:szCs w:val="32"/>
        </w:rPr>
        <w:t>与批准立项的课题（项目）严重不符；</w:t>
      </w:r>
    </w:p>
    <w:p w14:paraId="5430D5F5">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4.</w:t>
      </w:r>
      <w:r>
        <w:rPr>
          <w:rFonts w:hint="eastAsia" w:ascii="仿宋_GB2312" w:hAnsi="宋体" w:eastAsia="仿宋_GB2312" w:cs="宋体"/>
          <w:sz w:val="32"/>
          <w:szCs w:val="32"/>
        </w:rPr>
        <w:t>未按期申请结项又未提出延期申请；</w:t>
      </w:r>
    </w:p>
    <w:p w14:paraId="5B3E4F9D">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5.</w:t>
      </w:r>
      <w:r>
        <w:rPr>
          <w:rFonts w:hint="eastAsia" w:ascii="仿宋_GB2312" w:hAnsi="宋体" w:eastAsia="仿宋_GB2312" w:cs="宋体"/>
          <w:sz w:val="32"/>
          <w:szCs w:val="32"/>
        </w:rPr>
        <w:t>申请延期未得到同意、或者同意延期后仍未如期结项；</w:t>
      </w:r>
    </w:p>
    <w:p w14:paraId="5518DCAD">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6.</w:t>
      </w:r>
      <w:r>
        <w:rPr>
          <w:rFonts w:hint="eastAsia" w:ascii="仿宋_GB2312" w:hAnsi="宋体" w:eastAsia="仿宋_GB2312" w:cs="宋体"/>
          <w:sz w:val="32"/>
          <w:szCs w:val="32"/>
        </w:rPr>
        <w:t>课题（项目）成果被评为“不合格”，且课题（项目）组修改后经再次评审仍不合格的。</w:t>
      </w:r>
    </w:p>
    <w:p w14:paraId="1076297D">
      <w:pPr>
        <w:spacing w:line="588"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被撤销课题（项目）的，列入天津市法学会课题（项目）研究诚信记录，其课题（项目）主持人在两年内不得申报天津市法学会法学研究课题（项目）。</w:t>
      </w:r>
    </w:p>
    <w:p w14:paraId="0655E754">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第二十九条</w:t>
      </w:r>
      <w:r>
        <w:rPr>
          <w:rFonts w:hint="eastAsia" w:ascii="宋体" w:hAnsi="宋体" w:eastAsia="宋体" w:cs="Times New Roman"/>
          <w:sz w:val="32"/>
          <w:szCs w:val="32"/>
        </w:rPr>
        <w:t xml:space="preserve"> </w:t>
      </w:r>
      <w:r>
        <w:rPr>
          <w:rFonts w:hint="eastAsia" w:ascii="仿宋_GB2312" w:hAnsi="宋体" w:eastAsia="仿宋_GB2312" w:cs="宋体"/>
          <w:sz w:val="32"/>
          <w:szCs w:val="32"/>
        </w:rPr>
        <w:t xml:space="preserve"> 课题（项目）成果归天津市法学会所有，以天津市法学会名义对外发布和使用。课题（项目）主持人有将该成果用于科研、教学的权利和经天津市法学会同意赋予的其他权利。</w:t>
      </w:r>
    </w:p>
    <w:p w14:paraId="03581B70">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第三十条</w:t>
      </w:r>
      <w:r>
        <w:rPr>
          <w:rFonts w:hint="eastAsia" w:ascii="仿宋_GB2312" w:hAnsi="宋体" w:eastAsia="仿宋_GB2312" w:cs="宋体"/>
          <w:b/>
          <w:bCs/>
          <w:color w:val="FF0000"/>
          <w:sz w:val="32"/>
          <w:szCs w:val="32"/>
        </w:rPr>
        <w:t xml:space="preserve">  </w:t>
      </w:r>
      <w:r>
        <w:rPr>
          <w:rFonts w:hint="eastAsia" w:ascii="仿宋_GB2312" w:hAnsi="宋体" w:eastAsia="仿宋_GB2312" w:cs="宋体"/>
          <w:sz w:val="32"/>
          <w:szCs w:val="32"/>
        </w:rPr>
        <w:t>课题（项目）主持人是成果转化的第一责任人，应主动推动研究成果转化应用，包括但不限于向相关部门报送决策咨询建议、在核心期刊发表论文、出版专著、参与法治实践宣讲等，市法学会提供转化指导和渠道支持，建立成果转化跟踪反馈机制。</w:t>
      </w:r>
    </w:p>
    <w:p w14:paraId="7D9E469B">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第三十一条</w:t>
      </w:r>
      <w:r>
        <w:rPr>
          <w:rFonts w:hint="eastAsia" w:ascii="仿宋_GB2312" w:hAnsi="宋体" w:eastAsia="仿宋_GB2312" w:cs="宋体"/>
          <w:b/>
          <w:bCs/>
          <w:color w:val="FF0000"/>
          <w:sz w:val="32"/>
          <w:szCs w:val="32"/>
        </w:rPr>
        <w:t xml:space="preserve">  </w:t>
      </w:r>
      <w:r>
        <w:rPr>
          <w:rFonts w:hint="eastAsia" w:ascii="仿宋_GB2312" w:hAnsi="宋体" w:eastAsia="仿宋_GB2312" w:cs="宋体"/>
          <w:sz w:val="32"/>
          <w:szCs w:val="32"/>
        </w:rPr>
        <w:t>强化成果转化激励机制。课题（项目）成果获得省部级及以上领导同志肯定性批示或者被省部级及以上部门采纳应用的，天津市法学会应当及时通知主持人所在单位并出具书面证明，建议主持人所在单位将其认定为对应级别科研成果，纳入考核评价、职称评定、评优评先依据，并在后续课题（项目）申报中予以优先考虑。</w:t>
      </w:r>
    </w:p>
    <w:p w14:paraId="37CC73D4">
      <w:pPr>
        <w:spacing w:line="588" w:lineRule="exact"/>
        <w:jc w:val="center"/>
        <w:rPr>
          <w:rFonts w:ascii="黑体" w:hAnsi="黑体" w:eastAsia="黑体" w:cs="Times New Roman"/>
          <w:bCs/>
          <w:sz w:val="32"/>
          <w:szCs w:val="32"/>
        </w:rPr>
      </w:pPr>
      <w:r>
        <w:rPr>
          <w:rFonts w:hint="eastAsia" w:ascii="黑体" w:hAnsi="黑体" w:eastAsia="黑体" w:cs="Times New Roman"/>
          <w:bCs/>
          <w:sz w:val="32"/>
          <w:szCs w:val="32"/>
        </w:rPr>
        <w:t>第五章  经费管理</w:t>
      </w:r>
    </w:p>
    <w:p w14:paraId="190B70E9">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第三十二条</w:t>
      </w:r>
      <w:r>
        <w:rPr>
          <w:rFonts w:hint="eastAsia" w:ascii="宋体" w:hAnsi="宋体" w:eastAsia="宋体" w:cs="Times New Roman"/>
          <w:sz w:val="32"/>
          <w:szCs w:val="32"/>
        </w:rPr>
        <w:t xml:space="preserve">  </w:t>
      </w:r>
      <w:r>
        <w:rPr>
          <w:rFonts w:hint="eastAsia" w:ascii="仿宋_GB2312" w:hAnsi="宋体" w:eastAsia="仿宋_GB2312" w:cs="宋体"/>
          <w:sz w:val="32"/>
          <w:szCs w:val="32"/>
        </w:rPr>
        <w:t>天津市法学会法学研究课题（项目）经费，是指课题（项目）研究过程中发生的与研究活动直接相关的费用，应当专款专用，严格遵守国家及我市有关财务制度规定。</w:t>
      </w:r>
    </w:p>
    <w:p w14:paraId="53338F54">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第三十三条</w:t>
      </w:r>
      <w:r>
        <w:rPr>
          <w:rFonts w:hint="eastAsia" w:ascii="宋体" w:hAnsi="宋体" w:eastAsia="宋体" w:cs="Times New Roman"/>
          <w:sz w:val="32"/>
          <w:szCs w:val="32"/>
        </w:rPr>
        <w:t xml:space="preserve">  </w:t>
      </w:r>
      <w:r>
        <w:rPr>
          <w:rFonts w:hint="eastAsia" w:ascii="仿宋_GB2312" w:hAnsi="宋体" w:eastAsia="仿宋_GB2312" w:cs="宋体"/>
          <w:sz w:val="32"/>
          <w:szCs w:val="32"/>
        </w:rPr>
        <w:t>课题（项目）经费的开支范围包括：</w:t>
      </w:r>
    </w:p>
    <w:p w14:paraId="230B5AEE">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1.</w:t>
      </w:r>
      <w:r>
        <w:rPr>
          <w:rFonts w:hint="eastAsia" w:ascii="仿宋_GB2312" w:hAnsi="宋体" w:eastAsia="仿宋_GB2312" w:cs="宋体"/>
          <w:sz w:val="32"/>
          <w:szCs w:val="32"/>
        </w:rPr>
        <w:t>设备及耗材费：用于购买课题（项目）研究所需设备及耗材的支出;</w:t>
      </w:r>
    </w:p>
    <w:p w14:paraId="0F457C37">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2.</w:t>
      </w:r>
      <w:r>
        <w:rPr>
          <w:rFonts w:hint="eastAsia" w:ascii="仿宋_GB2312" w:hAnsi="宋体" w:eastAsia="仿宋_GB2312" w:cs="宋体"/>
          <w:sz w:val="32"/>
          <w:szCs w:val="32"/>
        </w:rPr>
        <w:t>资料费：用于购买课题（项目）研究所需图书、资料等支出;</w:t>
      </w:r>
    </w:p>
    <w:p w14:paraId="1F86610B">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3.</w:t>
      </w:r>
      <w:r>
        <w:rPr>
          <w:rFonts w:hint="eastAsia" w:ascii="仿宋_GB2312" w:hAnsi="宋体" w:eastAsia="仿宋_GB2312" w:cs="宋体"/>
          <w:sz w:val="32"/>
          <w:szCs w:val="32"/>
        </w:rPr>
        <w:t>会议费：用于召开课题（项目）研讨会、座谈会、鉴定会等所发生的会议费支出;</w:t>
      </w:r>
    </w:p>
    <w:p w14:paraId="0A12BB3D">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4.</w:t>
      </w:r>
      <w:r>
        <w:rPr>
          <w:rFonts w:hint="eastAsia" w:ascii="仿宋_GB2312" w:hAnsi="宋体" w:eastAsia="仿宋_GB2312" w:cs="宋体"/>
          <w:sz w:val="32"/>
          <w:szCs w:val="32"/>
        </w:rPr>
        <w:t>差旅费：用于课题（项目）研究所发生的出差、调研等经费支出;</w:t>
      </w:r>
    </w:p>
    <w:p w14:paraId="4F89B32F">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5.劳</w:t>
      </w:r>
      <w:r>
        <w:rPr>
          <w:rFonts w:hint="eastAsia" w:ascii="仿宋_GB2312" w:hAnsi="宋体" w:eastAsia="仿宋_GB2312" w:cs="宋体"/>
          <w:sz w:val="32"/>
          <w:szCs w:val="32"/>
        </w:rPr>
        <w:t>务费：包括课题（项目）研究所需人工费用和专家审定费等支出;</w:t>
      </w:r>
    </w:p>
    <w:p w14:paraId="431E1B11">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6.</w:t>
      </w:r>
      <w:r>
        <w:rPr>
          <w:rFonts w:hint="eastAsia" w:ascii="仿宋_GB2312" w:hAnsi="宋体" w:eastAsia="仿宋_GB2312" w:cs="宋体"/>
          <w:sz w:val="32"/>
          <w:szCs w:val="32"/>
        </w:rPr>
        <w:t>管理费：不超过课题经费的</w:t>
      </w:r>
      <w:r>
        <w:rPr>
          <w:rFonts w:hint="eastAsia" w:ascii="Times New Roman" w:hAnsi="Times New Roman" w:eastAsia="仿宋_GB2312" w:cs="Times New Roman"/>
          <w:bCs/>
          <w:sz w:val="32"/>
          <w:szCs w:val="32"/>
        </w:rPr>
        <w:t>3%</w:t>
      </w:r>
      <w:r>
        <w:rPr>
          <w:rFonts w:hint="eastAsia" w:ascii="仿宋_GB2312" w:hAnsi="宋体" w:eastAsia="仿宋_GB2312" w:cs="宋体"/>
          <w:sz w:val="32"/>
          <w:szCs w:val="32"/>
        </w:rPr>
        <w:t>，用于日常科研管理工作;</w:t>
      </w:r>
    </w:p>
    <w:p w14:paraId="1D160005">
      <w:pPr>
        <w:spacing w:line="588" w:lineRule="exact"/>
        <w:ind w:firstLine="640" w:firstLineChars="200"/>
        <w:rPr>
          <w:rFonts w:ascii="仿宋_GB2312" w:hAnsi="宋体" w:eastAsia="仿宋_GB2312" w:cs="宋体"/>
          <w:sz w:val="32"/>
          <w:szCs w:val="32"/>
        </w:rPr>
      </w:pPr>
      <w:r>
        <w:rPr>
          <w:rFonts w:hint="eastAsia" w:ascii="Times New Roman" w:hAnsi="Times New Roman" w:eastAsia="仿宋_GB2312" w:cs="Times New Roman"/>
          <w:bCs/>
          <w:sz w:val="32"/>
          <w:szCs w:val="32"/>
        </w:rPr>
        <w:t>7.</w:t>
      </w:r>
      <w:r>
        <w:rPr>
          <w:rFonts w:hint="eastAsia" w:ascii="仿宋_GB2312" w:hAnsi="宋体" w:eastAsia="仿宋_GB2312" w:cs="宋体"/>
          <w:sz w:val="32"/>
          <w:szCs w:val="32"/>
        </w:rPr>
        <w:t>其他支出：课题（项目）研究需要但未列入以上各项的其他有关支出。</w:t>
      </w:r>
    </w:p>
    <w:p w14:paraId="08862627">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第三十四条</w:t>
      </w:r>
      <w:r>
        <w:rPr>
          <w:rFonts w:hint="eastAsia" w:ascii="宋体" w:hAnsi="宋体" w:eastAsia="宋体" w:cs="Times New Roman"/>
          <w:sz w:val="32"/>
          <w:szCs w:val="32"/>
        </w:rPr>
        <w:t xml:space="preserve">  </w:t>
      </w:r>
      <w:r>
        <w:rPr>
          <w:rFonts w:hint="eastAsia" w:ascii="仿宋_GB2312" w:hAnsi="宋体" w:eastAsia="仿宋_GB2312" w:cs="宋体"/>
          <w:sz w:val="32"/>
          <w:szCs w:val="32"/>
        </w:rPr>
        <w:t>课题（项目）经费按照国家和我市有关财务制度规定，在课题（项目）完成并通过结项验收、取得结项证书后，一次性拨付至课题（项目）主持人或其指定的课题（项目）组内人员账户。</w:t>
      </w:r>
    </w:p>
    <w:p w14:paraId="3C180D47">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第三十五条</w:t>
      </w:r>
      <w:r>
        <w:rPr>
          <w:rFonts w:hint="eastAsia" w:ascii="宋体" w:hAnsi="宋体" w:eastAsia="宋体" w:cs="Times New Roman"/>
          <w:sz w:val="32"/>
          <w:szCs w:val="32"/>
        </w:rPr>
        <w:t xml:space="preserve">  </w:t>
      </w:r>
      <w:r>
        <w:rPr>
          <w:rFonts w:hint="eastAsia" w:ascii="仿宋_GB2312" w:hAnsi="宋体" w:eastAsia="仿宋_GB2312" w:cs="宋体"/>
          <w:sz w:val="32"/>
          <w:szCs w:val="32"/>
        </w:rPr>
        <w:t>课题（项目）主持人应按要求提供银行账户、正式发票等相关资料，对经费使用的合法性、真实性及合规性承担法律责任，负责经费使用的监督管理。</w:t>
      </w:r>
    </w:p>
    <w:p w14:paraId="3B638A36">
      <w:pPr>
        <w:spacing w:line="588" w:lineRule="exact"/>
        <w:jc w:val="center"/>
        <w:rPr>
          <w:rFonts w:ascii="黑体" w:hAnsi="黑体" w:eastAsia="黑体" w:cs="Times New Roman"/>
          <w:bCs/>
          <w:sz w:val="32"/>
          <w:szCs w:val="32"/>
        </w:rPr>
      </w:pPr>
      <w:bookmarkStart w:id="6" w:name="OLE_LINK23"/>
      <w:bookmarkStart w:id="7" w:name="OLE_LINK22"/>
      <w:r>
        <w:rPr>
          <w:rFonts w:hint="eastAsia" w:ascii="黑体" w:hAnsi="黑体" w:eastAsia="黑体" w:cs="Times New Roman"/>
          <w:bCs/>
          <w:sz w:val="32"/>
          <w:szCs w:val="32"/>
        </w:rPr>
        <w:t>第六章  附  则</w:t>
      </w:r>
    </w:p>
    <w:p w14:paraId="37A6CFB2">
      <w:pPr>
        <w:spacing w:line="588" w:lineRule="exact"/>
        <w:ind w:firstLine="640" w:firstLineChars="200"/>
        <w:rPr>
          <w:rFonts w:ascii="仿宋_GB2312" w:hAnsi="宋体" w:eastAsia="仿宋_GB2312" w:cs="宋体"/>
          <w:sz w:val="32"/>
          <w:szCs w:val="32"/>
        </w:rPr>
      </w:pPr>
      <w:r>
        <w:rPr>
          <w:rFonts w:hint="eastAsia" w:ascii="黑体" w:hAnsi="黑体" w:eastAsia="黑体" w:cs="Times New Roman"/>
          <w:bCs/>
          <w:sz w:val="32"/>
          <w:szCs w:val="32"/>
        </w:rPr>
        <w:t>第三十六条</w:t>
      </w:r>
      <w:r>
        <w:rPr>
          <w:rFonts w:hint="eastAsia" w:ascii="宋体" w:hAnsi="宋体" w:eastAsia="宋体" w:cs="Times New Roman"/>
          <w:sz w:val="32"/>
          <w:szCs w:val="32"/>
        </w:rPr>
        <w:t xml:space="preserve">  </w:t>
      </w:r>
      <w:r>
        <w:rPr>
          <w:rFonts w:hint="eastAsia" w:ascii="仿宋_GB2312" w:hAnsi="宋体" w:eastAsia="仿宋_GB2312" w:cs="宋体"/>
          <w:sz w:val="32"/>
          <w:szCs w:val="32"/>
        </w:rPr>
        <w:t>本办法由天津市法学会负责解释。</w:t>
      </w:r>
      <w:bookmarkEnd w:id="6"/>
      <w:bookmarkEnd w:id="7"/>
    </w:p>
    <w:p w14:paraId="477045E2">
      <w:pPr>
        <w:spacing w:line="588" w:lineRule="exact"/>
        <w:ind w:firstLine="640" w:firstLineChars="200"/>
        <w:rPr>
          <w:rFonts w:ascii="Calibri" w:hAnsi="Calibri" w:eastAsia="宋体" w:cs="Times New Roman"/>
          <w:sz w:val="32"/>
          <w:szCs w:val="32"/>
        </w:rPr>
      </w:pPr>
      <w:r>
        <w:rPr>
          <w:rFonts w:hint="eastAsia" w:ascii="黑体" w:hAnsi="黑体" w:eastAsia="黑体" w:cs="Times New Roman"/>
          <w:bCs/>
          <w:sz w:val="32"/>
          <w:szCs w:val="32"/>
        </w:rPr>
        <w:t>第三十七条</w:t>
      </w:r>
      <w:r>
        <w:rPr>
          <w:rFonts w:hint="eastAsia" w:ascii="宋体" w:hAnsi="宋体" w:eastAsia="宋体" w:cs="Times New Roman"/>
          <w:sz w:val="32"/>
          <w:szCs w:val="32"/>
        </w:rPr>
        <w:t xml:space="preserve">  </w:t>
      </w:r>
      <w:r>
        <w:rPr>
          <w:rFonts w:hint="eastAsia" w:ascii="仿宋_GB2312" w:hAnsi="宋体" w:eastAsia="仿宋_GB2312" w:cs="宋体"/>
          <w:sz w:val="32"/>
          <w:szCs w:val="32"/>
        </w:rPr>
        <w:t>本办法自发布之日起施行。天津市法学会原有关法学研究课题（项目）管理的规定与本办法不一致的，以本办法为准。</w:t>
      </w:r>
    </w:p>
    <w:p w14:paraId="23D8675E">
      <w:pPr>
        <w:rPr>
          <w:rFonts w:ascii="等线" w:hAnsi="等线" w:eastAsia="等线" w:cs="Times New Roman"/>
          <w:szCs w:val="22"/>
        </w:rPr>
      </w:pPr>
    </w:p>
    <w:p w14:paraId="7D09E6B5">
      <w:pPr>
        <w:spacing w:line="588" w:lineRule="exact"/>
        <w:rPr>
          <w:rFonts w:eastAsia="方正仿宋简体"/>
          <w:sz w:val="34"/>
          <w:szCs w:val="34"/>
        </w:rPr>
      </w:pPr>
    </w:p>
    <w:p w14:paraId="35B7BD0E">
      <w:pPr>
        <w:spacing w:line="588" w:lineRule="exact"/>
        <w:rPr>
          <w:rFonts w:eastAsia="方正仿宋简体"/>
          <w:sz w:val="34"/>
          <w:szCs w:val="34"/>
        </w:rPr>
      </w:pPr>
    </w:p>
    <w:p w14:paraId="39AD2887">
      <w:pPr>
        <w:spacing w:line="588" w:lineRule="exact"/>
        <w:rPr>
          <w:rFonts w:eastAsia="方正仿宋简体"/>
          <w:sz w:val="34"/>
          <w:szCs w:val="34"/>
        </w:rPr>
      </w:pPr>
    </w:p>
    <w:p w14:paraId="28CF91E5">
      <w:pPr>
        <w:spacing w:line="588" w:lineRule="exact"/>
        <w:rPr>
          <w:rFonts w:eastAsia="方正仿宋简体"/>
          <w:sz w:val="34"/>
          <w:szCs w:val="34"/>
        </w:rPr>
      </w:pPr>
    </w:p>
    <w:p w14:paraId="1D7861CB">
      <w:pPr>
        <w:spacing w:line="588" w:lineRule="exact"/>
        <w:rPr>
          <w:rFonts w:eastAsia="方正仿宋简体"/>
          <w:sz w:val="34"/>
          <w:szCs w:val="34"/>
        </w:rPr>
      </w:pPr>
    </w:p>
    <w:p w14:paraId="27B3EC8E">
      <w:pPr>
        <w:spacing w:line="588" w:lineRule="exact"/>
        <w:rPr>
          <w:rFonts w:eastAsia="方正仿宋简体"/>
          <w:sz w:val="34"/>
          <w:szCs w:val="34"/>
        </w:rPr>
      </w:pPr>
    </w:p>
    <w:p w14:paraId="274BE866">
      <w:pPr>
        <w:spacing w:line="588" w:lineRule="exact"/>
        <w:rPr>
          <w:rFonts w:eastAsia="方正仿宋简体"/>
          <w:sz w:val="34"/>
          <w:szCs w:val="34"/>
        </w:rPr>
      </w:pPr>
    </w:p>
    <w:p w14:paraId="2553EEEC">
      <w:pPr>
        <w:spacing w:line="588" w:lineRule="exact"/>
        <w:rPr>
          <w:rFonts w:eastAsia="方正仿宋简体"/>
          <w:sz w:val="34"/>
          <w:szCs w:val="34"/>
        </w:rPr>
      </w:pPr>
    </w:p>
    <w:p w14:paraId="33DA7ECF">
      <w:pPr>
        <w:spacing w:line="588" w:lineRule="exact"/>
        <w:rPr>
          <w:rFonts w:eastAsia="方正仿宋简体"/>
          <w:sz w:val="34"/>
          <w:szCs w:val="34"/>
        </w:rPr>
      </w:pPr>
    </w:p>
    <w:p w14:paraId="4E6891E8">
      <w:pPr>
        <w:spacing w:line="588" w:lineRule="exact"/>
        <w:rPr>
          <w:rFonts w:eastAsia="方正仿宋简体"/>
          <w:sz w:val="34"/>
          <w:szCs w:val="34"/>
        </w:rPr>
      </w:pPr>
    </w:p>
    <w:p w14:paraId="49565E3E">
      <w:pPr>
        <w:spacing w:line="588" w:lineRule="exact"/>
        <w:rPr>
          <w:rFonts w:eastAsia="方正仿宋简体"/>
          <w:sz w:val="34"/>
          <w:szCs w:val="34"/>
        </w:rPr>
      </w:pPr>
    </w:p>
    <w:p w14:paraId="26490F83">
      <w:bookmarkStart w:id="8" w:name="_GoBack"/>
      <w:bookmarkEnd w:id="8"/>
    </w:p>
    <w:sectPr>
      <w:footerReference r:id="rId3" w:type="default"/>
      <w:pgSz w:w="11906" w:h="16838"/>
      <w:pgMar w:top="2041" w:right="1531" w:bottom="1701" w:left="1531" w:header="851" w:footer="113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9B674A-5BD6-4B1B-BDD1-4F088597BE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3175F6E-916F-41FC-96DD-F65A13EB5747}"/>
  </w:font>
  <w:font w:name="仿宋_GB2312">
    <w:altName w:val="仿宋"/>
    <w:panose1 w:val="02010609030101010101"/>
    <w:charset w:val="86"/>
    <w:family w:val="modern"/>
    <w:pitch w:val="default"/>
    <w:sig w:usb0="00000000" w:usb1="00000000" w:usb2="00000010" w:usb3="00000000" w:csb0="00040000" w:csb1="00000000"/>
    <w:embedRegular r:id="rId3" w:fontKey="{68E50902-FA1C-4368-B39A-10E8F2C9F9A4}"/>
  </w:font>
  <w:font w:name="方正小标宋简体">
    <w:panose1 w:val="02000000000000000000"/>
    <w:charset w:val="86"/>
    <w:family w:val="auto"/>
    <w:pitch w:val="default"/>
    <w:sig w:usb0="00000001" w:usb1="08000000" w:usb2="00000000" w:usb3="00000000" w:csb0="00040000" w:csb1="00000000"/>
    <w:embedRegular r:id="rId4" w:fontKey="{07245822-FAA9-4300-87E9-F619DC401832}"/>
  </w:font>
  <w:font w:name="等线">
    <w:panose1 w:val="02010600030101010101"/>
    <w:charset w:val="86"/>
    <w:family w:val="auto"/>
    <w:pitch w:val="default"/>
    <w:sig w:usb0="A00002BF" w:usb1="38CF7CFA" w:usb2="00000016" w:usb3="00000000" w:csb0="0004000F" w:csb1="00000000"/>
    <w:embedRegular r:id="rId5" w:fontKey="{44B2EBAF-EF4A-48B2-979C-783AD8095D27}"/>
  </w:font>
  <w:font w:name="方正仿宋简体">
    <w:altName w:val="微软雅黑"/>
    <w:panose1 w:val="02010601030101010101"/>
    <w:charset w:val="86"/>
    <w:family w:val="auto"/>
    <w:pitch w:val="default"/>
    <w:sig w:usb0="00000000" w:usb1="00000000" w:usb2="00000010" w:usb3="00000000" w:csb0="00040000" w:csb1="00000000"/>
    <w:embedRegular r:id="rId6" w:fontKey="{ECD17D7E-F24F-47A6-BC7D-D0940DF6AF5A}"/>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3B1B4">
    <w:pPr>
      <w:pStyle w:val="2"/>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A8D9C">
                          <w:pPr>
                            <w:pStyle w:val="2"/>
                            <w:rPr>
                              <w:rFonts w:ascii="等线" w:hAnsi="等线" w:eastAsia="等线" w:cs="等线"/>
                              <w:sz w:val="28"/>
                              <w:szCs w:val="28"/>
                            </w:rPr>
                          </w:pPr>
                          <w:r>
                            <w:rPr>
                              <w:rFonts w:hint="eastAsia" w:ascii="等线" w:hAnsi="等线" w:eastAsia="等线" w:cs="等线"/>
                              <w:sz w:val="28"/>
                              <w:szCs w:val="28"/>
                            </w:rPr>
                            <w:t xml:space="preserve">— </w:t>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  \* MERGEFORMAT </w:instrText>
                          </w:r>
                          <w:r>
                            <w:rPr>
                              <w:rFonts w:hint="eastAsia" w:ascii="等线" w:hAnsi="等线" w:eastAsia="等线" w:cs="等线"/>
                              <w:sz w:val="28"/>
                              <w:szCs w:val="28"/>
                            </w:rPr>
                            <w:fldChar w:fldCharType="separate"/>
                          </w:r>
                          <w:r>
                            <w:rPr>
                              <w:rFonts w:ascii="等线" w:hAnsi="等线" w:eastAsia="等线" w:cs="等线"/>
                              <w:sz w:val="28"/>
                              <w:szCs w:val="28"/>
                            </w:rPr>
                            <w:t>21</w:t>
                          </w:r>
                          <w:r>
                            <w:rPr>
                              <w:rFonts w:hint="eastAsia" w:ascii="等线" w:hAnsi="等线" w:eastAsia="等线" w:cs="等线"/>
                              <w:sz w:val="28"/>
                              <w:szCs w:val="28"/>
                            </w:rPr>
                            <w:fldChar w:fldCharType="end"/>
                          </w:r>
                          <w:r>
                            <w:rPr>
                              <w:rFonts w:hint="eastAsia" w:ascii="等线" w:hAnsi="等线" w:eastAsia="等线" w:cs="等线"/>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61A8D9C">
                    <w:pPr>
                      <w:pStyle w:val="2"/>
                      <w:rPr>
                        <w:rFonts w:ascii="等线" w:hAnsi="等线" w:eastAsia="等线" w:cs="等线"/>
                        <w:sz w:val="28"/>
                        <w:szCs w:val="28"/>
                      </w:rPr>
                    </w:pPr>
                    <w:r>
                      <w:rPr>
                        <w:rFonts w:hint="eastAsia" w:ascii="等线" w:hAnsi="等线" w:eastAsia="等线" w:cs="等线"/>
                        <w:sz w:val="28"/>
                        <w:szCs w:val="28"/>
                      </w:rPr>
                      <w:t xml:space="preserve">— </w:t>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  \* MERGEFORMAT </w:instrText>
                    </w:r>
                    <w:r>
                      <w:rPr>
                        <w:rFonts w:hint="eastAsia" w:ascii="等线" w:hAnsi="等线" w:eastAsia="等线" w:cs="等线"/>
                        <w:sz w:val="28"/>
                        <w:szCs w:val="28"/>
                      </w:rPr>
                      <w:fldChar w:fldCharType="separate"/>
                    </w:r>
                    <w:r>
                      <w:rPr>
                        <w:rFonts w:ascii="等线" w:hAnsi="等线" w:eastAsia="等线" w:cs="等线"/>
                        <w:sz w:val="28"/>
                        <w:szCs w:val="28"/>
                      </w:rPr>
                      <w:t>21</w:t>
                    </w:r>
                    <w:r>
                      <w:rPr>
                        <w:rFonts w:hint="eastAsia" w:ascii="等线" w:hAnsi="等线" w:eastAsia="等线" w:cs="等线"/>
                        <w:sz w:val="28"/>
                        <w:szCs w:val="28"/>
                      </w:rPr>
                      <w:fldChar w:fldCharType="end"/>
                    </w:r>
                    <w:r>
                      <w:rPr>
                        <w:rFonts w:hint="eastAsia" w:ascii="等线" w:hAnsi="等线" w:eastAsia="等线" w:cs="等线"/>
                        <w:sz w:val="28"/>
                        <w:szCs w:val="28"/>
                      </w:rPr>
                      <w:t xml:space="preserve"> —</w:t>
                    </w:r>
                  </w:p>
                </w:txbxContent>
              </v:textbox>
            </v:shape>
          </w:pict>
        </mc:Fallback>
      </mc:AlternateContent>
    </w:r>
  </w:p>
  <w:p w14:paraId="115BBA4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30847"/>
    <w:rsid w:val="18D30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2026-04-02T06:10:00Z</dcterms:created>
  <dc:creator>猴子太疯狂了</dc:creator>
  <cp:lastModifiedBy>猴子太疯狂了</cp:lastModifiedBy>
  <dcterms:modified xsi:type="dcterms:W3CDTF">2026-04-02T06:10:41Z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C1508C685869405DA5089FB562E019C6_11</vt:lpwstr>
  </property>
  <property fmtid="{D5CDD505-2E9C-101B-9397-08002B2CF9AE}" pid="4" name="KSOTemplateDocerSaveRecord">
    <vt:lpwstr>eyJoZGlkIjoiZGY0YWY4YTEyMTI1MDQ5ZjAxN2YwMTIyNmJkMWY4YjEiLCJ1c2VySWQiOiIxMjM3MDc1MjEifQ==</vt:lpwstr>
  </property>
</Properties>
</file>